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orpsdetexte"/>
        <w:pBdr>
          <w:bottom w:val="single" w:sz="4" w:space="1" w:color="auto"/>
        </w:pBdr>
        <w:rPr>
          <w:rFonts w:ascii="Marianne" w:hAnsi="Marianne" w:cs="Arial"/>
          <w:b/>
          <w:sz w:val="24"/>
        </w:rPr>
      </w:pPr>
    </w:p>
    <w:p>
      <w:pPr>
        <w:pStyle w:val="Corpsdetexte"/>
        <w:pBdr>
          <w:bottom w:val="single" w:sz="4" w:space="1" w:color="auto"/>
        </w:pBdr>
        <w:jc w:val="center"/>
        <w:rPr>
          <w:rFonts w:ascii="Marianne" w:hAnsi="Marianne" w:cs="Arial"/>
          <w:b/>
          <w:sz w:val="24"/>
        </w:rPr>
      </w:pPr>
      <w:r>
        <w:rPr>
          <w:rFonts w:ascii="Marianne" w:hAnsi="Marianne" w:cs="Arial"/>
          <w:b/>
          <w:sz w:val="24"/>
        </w:rPr>
        <w:t>A remplir et signer par le titulaire du marché</w:t>
      </w:r>
    </w:p>
    <w:p>
      <w:pPr>
        <w:pStyle w:val="Corpsdetexte"/>
        <w:jc w:val="center"/>
        <w:rPr>
          <w:rFonts w:ascii="Marianne" w:hAnsi="Marianne" w:cs="Arial"/>
          <w:b/>
          <w:bCs/>
        </w:rPr>
      </w:pPr>
    </w:p>
    <w:p>
      <w:pPr>
        <w:spacing w:after="100"/>
        <w:rPr>
          <w:rFonts w:ascii="Marianne" w:hAnsi="Marianne" w:cs="Arial"/>
          <w:b/>
        </w:rPr>
      </w:pPr>
    </w:p>
    <w:p>
      <w:pPr>
        <w:spacing w:after="100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 xml:space="preserve">Le présent mémoire vise à décrire le système d’enlèvement et de traitement des équipements électriques et électroniques en fin d’usage mis en œuvre dans le cadre de l’exécution du marché. </w:t>
      </w:r>
    </w:p>
    <w:p>
      <w:pPr>
        <w:spacing w:after="100"/>
        <w:rPr>
          <w:rFonts w:ascii="Marianne" w:hAnsi="Marianne" w:cs="Arial"/>
          <w:b/>
        </w:rPr>
      </w:pPr>
    </w:p>
    <w:p>
      <w:pPr>
        <w:spacing w:after="100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>Le titulaire transmet à l’acheteur ce questionnaire dûment rempli dans un délai de deux (2) mois à compter de la notification du marché.</w:t>
      </w:r>
    </w:p>
    <w:p>
      <w:pPr>
        <w:rPr>
          <w:rFonts w:ascii="Marianne" w:hAnsi="Marianne" w:cs="Arial"/>
          <w:b/>
          <w:bCs/>
        </w:rPr>
      </w:pPr>
    </w:p>
    <w:p>
      <w:pPr>
        <w:pStyle w:val="Corpsdetexte"/>
        <w:spacing w:after="100"/>
        <w:jc w:val="both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Le terme « producteur » est employé au sens de la réglementation relative aux déchets d’équipements électriques et électroniques (art. R. 543-174 du code de l’environnement), à savoir :</w:t>
      </w:r>
    </w:p>
    <w:p>
      <w:pPr>
        <w:pStyle w:val="Paragraphedeliste"/>
        <w:numPr>
          <w:ilvl w:val="0"/>
          <w:numId w:val="3"/>
        </w:numPr>
        <w:spacing w:before="100" w:beforeAutospacing="1" w:after="100" w:afterAutospacing="1"/>
        <w:contextualSpacing w:val="0"/>
        <w:rPr>
          <w:rFonts w:ascii="Marianne" w:eastAsia="Times New Roman" w:hAnsi="Marianne" w:cs="Times New Roman"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t>Est considérée comme producteur toute personne qui fabrique, importe ou introduit sur le marché national à titre professionnel des équipements électriques et électroniques, sauf si ces équipements sont vendus sous la seule marque d'un revendeur. Dans ce cas, le revendeur est considéré comme producteur.</w:t>
      </w:r>
    </w:p>
    <w:p>
      <w:pPr>
        <w:rPr>
          <w:lang w:eastAsia="fr-FR"/>
        </w:rPr>
      </w:pPr>
    </w:p>
    <w:p>
      <w:pPr>
        <w:pStyle w:val="Paragraphedeliste"/>
        <w:numPr>
          <w:ilvl w:val="0"/>
          <w:numId w:val="3"/>
        </w:numPr>
        <w:spacing w:before="100" w:beforeAutospacing="1" w:after="100" w:afterAutospacing="1"/>
        <w:contextualSpacing w:val="0"/>
        <w:rPr>
          <w:rFonts w:ascii="Marianne" w:eastAsia="Times New Roman" w:hAnsi="Marianne" w:cs="Times New Roman"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t>Est considérée comme distributeur toute personne qui, quelle que soit la technique de distribution utilisée, y compris par communication à distance, fournit à titre commercial des équipements électriques et électroniques à celui qui va les utiliser.</w:t>
      </w:r>
    </w:p>
    <w:p>
      <w:pPr>
        <w:pStyle w:val="Corpsdetexte"/>
        <w:spacing w:after="100"/>
        <w:jc w:val="both"/>
        <w:rPr>
          <w:rFonts w:ascii="Marianne" w:hAnsi="Marianne" w:cs="Arial"/>
          <w:sz w:val="22"/>
          <w:szCs w:val="22"/>
        </w:rPr>
      </w:pPr>
    </w:p>
    <w:p>
      <w:pPr>
        <w:contextualSpacing w:val="0"/>
        <w:jc w:val="center"/>
        <w:rPr>
          <w:rFonts w:ascii="Marianne" w:eastAsia="SimSun" w:hAnsi="Marianne" w:cs="Arial"/>
          <w:kern w:val="1"/>
          <w:lang w:eastAsia="zh-CN" w:bidi="hi-IN"/>
        </w:rPr>
      </w:pPr>
      <w:r>
        <w:rPr>
          <w:rFonts w:ascii="Marianne" w:hAnsi="Marianne" w:cs="Arial"/>
        </w:rPr>
        <w:br w:type="page"/>
      </w:r>
    </w:p>
    <w:p>
      <w:pPr>
        <w:pStyle w:val="Corpsdetexte"/>
        <w:spacing w:after="100"/>
        <w:jc w:val="both"/>
        <w:rPr>
          <w:rFonts w:ascii="Marianne" w:hAnsi="Marianne" w:cs="Arial"/>
          <w:sz w:val="22"/>
          <w:szCs w:val="22"/>
        </w:rPr>
      </w:pPr>
    </w:p>
    <w:p>
      <w:pPr>
        <w:pStyle w:val="Corpsdetexte"/>
        <w:numPr>
          <w:ilvl w:val="0"/>
          <w:numId w:val="2"/>
        </w:numPr>
        <w:spacing w:after="100"/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Raison sociale de la société titulaire et contact référent pour la gestion des déchets</w:t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</w:p>
    <w:p>
      <w:pPr>
        <w:pStyle w:val="Corpsdetexte"/>
        <w:numPr>
          <w:ilvl w:val="0"/>
          <w:numId w:val="2"/>
        </w:numPr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Etes-vous considéré comme le producteur des équipements électriques et électroniques fournis dans le cadre du marché au sens de la réglementation ?</w:t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sdt>
        <w:sdtPr>
          <w:rPr>
            <w:rFonts w:ascii="Marianne" w:hAnsi="Marianne" w:cs="Arial"/>
            <w:szCs w:val="20"/>
          </w:rPr>
          <w:id w:val="-9675092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>
        <w:rPr>
          <w:rFonts w:ascii="Marianne" w:hAnsi="Marianne" w:cs="Arial"/>
          <w:szCs w:val="20"/>
        </w:rPr>
        <w:t xml:space="preserve"> Oui    </w:t>
      </w:r>
      <w:sdt>
        <w:sdtPr>
          <w:rPr>
            <w:rFonts w:ascii="Marianne" w:hAnsi="Marianne" w:cs="Arial"/>
            <w:szCs w:val="20"/>
          </w:rPr>
          <w:id w:val="14381014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>
        <w:rPr>
          <w:rFonts w:ascii="Marianne" w:hAnsi="Marianne" w:cs="Arial"/>
          <w:szCs w:val="20"/>
        </w:rPr>
        <w:t xml:space="preserve">  Non</w:t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</w:p>
    <w:p>
      <w:pPr>
        <w:pStyle w:val="Corpsdetexte"/>
        <w:numPr>
          <w:ilvl w:val="0"/>
          <w:numId w:val="2"/>
        </w:numPr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Identification du producteur des équipements fournis dans le cadre du marché</w:t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Nom du producteur :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Raison sociale :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Adresse du siège social :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Coordonnées téléphoniques du siège social :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Observations éventuelles :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</w:p>
    <w:p>
      <w:pPr>
        <w:pStyle w:val="Corpsdetexte"/>
        <w:numPr>
          <w:ilvl w:val="0"/>
          <w:numId w:val="2"/>
        </w:numPr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Système mis en place par le producteur des équipements</w:t>
      </w:r>
    </w:p>
    <w:p>
      <w:pPr>
        <w:pStyle w:val="Corpsdetexte"/>
        <w:jc w:val="both"/>
        <w:rPr>
          <w:rFonts w:ascii="Marianne" w:hAnsi="Marianne" w:cs="Arial"/>
          <w:b/>
          <w:bCs/>
          <w:szCs w:val="20"/>
        </w:rPr>
      </w:pPr>
      <w:r>
        <w:rPr>
          <w:rFonts w:ascii="Marianne" w:hAnsi="Marianne" w:cs="Arial"/>
          <w:szCs w:val="20"/>
        </w:rPr>
        <w:t>Le titulaire indique ci-dessous le dispositif choisi par le producteur (système individuel ou éco-organisme agréé) pour assurer ses obligations réglementaires en matière d’enlèvement des déchets issus des équipements qu’il produit, ainsi que le nom du dispositif et les coordonnées des personnes à contacter pour assurer l’enlèvement.</w:t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</w:p>
    <w:tbl>
      <w:tblPr>
        <w:tblStyle w:val="Grilledutableau"/>
        <w:tblW w:w="0" w:type="auto"/>
        <w:tblLayout w:type="fixed"/>
        <w:tblLook w:val="0000" w:firstRow="0" w:lastRow="0" w:firstColumn="0" w:lastColumn="0" w:noHBand="0" w:noVBand="0"/>
      </w:tblPr>
      <w:tblGrid>
        <w:gridCol w:w="2298"/>
        <w:gridCol w:w="7340"/>
      </w:tblGrid>
      <w:tr>
        <w:tc>
          <w:tcPr>
            <w:tcW w:w="2298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t>Système individuel</w:t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b/>
                <w:bCs/>
                <w:szCs w:val="20"/>
              </w:rPr>
            </w:pPr>
            <w:sdt>
              <w:sdtPr>
                <w:rPr>
                  <w:rFonts w:ascii="Marianne" w:hAnsi="Marianne" w:cs="Arial"/>
                  <w:iCs/>
                  <w:szCs w:val="20"/>
                </w:rPr>
                <w:id w:val="891241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Cs w:val="20"/>
                  </w:rPr>
                  <w:t>☐</w:t>
                </w:r>
              </w:sdtContent>
            </w:sdt>
            <w:r>
              <w:rPr>
                <w:rFonts w:ascii="Marianne" w:hAnsi="Marianne" w:cs="Arial"/>
                <w:i/>
                <w:iCs/>
                <w:szCs w:val="20"/>
                <w:vertAlign w:val="superscript"/>
              </w:rPr>
              <w:t xml:space="preserve"> </w:t>
            </w:r>
            <w:r>
              <w:rPr>
                <w:rFonts w:ascii="Marianne" w:hAnsi="Marianne" w:cs="Arial"/>
                <w:iCs/>
                <w:szCs w:val="20"/>
              </w:rPr>
              <w:t>(</w:t>
            </w:r>
            <w:proofErr w:type="gramStart"/>
            <w:r>
              <w:rPr>
                <w:rFonts w:ascii="Marianne" w:hAnsi="Marianne" w:cs="Arial"/>
                <w:iCs/>
                <w:szCs w:val="20"/>
              </w:rPr>
              <w:t>case</w:t>
            </w:r>
            <w:proofErr w:type="gramEnd"/>
            <w:r>
              <w:rPr>
                <w:rFonts w:ascii="Marianne" w:hAnsi="Marianne" w:cs="Arial"/>
                <w:iCs/>
                <w:szCs w:val="20"/>
              </w:rPr>
              <w:t xml:space="preserve"> à cocher lorsque le producteur a opté pour le dispositif du système individuel, joindre l’attestation correspondante)</w:t>
            </w:r>
          </w:p>
        </w:tc>
      </w:tr>
      <w:tr>
        <w:tc>
          <w:tcPr>
            <w:tcW w:w="2298" w:type="dxa"/>
          </w:tcPr>
          <w:p>
            <w:pPr>
              <w:pStyle w:val="Contenudetableau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t>Nom du système individuel tel que ce nom figure dans le registre de l’ADEME</w:t>
            </w:r>
            <w:bookmarkStart w:id="0" w:name="_Ref487725492"/>
            <w:r>
              <w:rPr>
                <w:rStyle w:val="Appelnotedebasdep"/>
                <w:rFonts w:ascii="Marianne" w:hAnsi="Marianne" w:cs="Arial"/>
                <w:szCs w:val="20"/>
              </w:rPr>
              <w:footnoteReference w:id="1"/>
            </w:r>
            <w:bookmarkEnd w:id="0"/>
            <w:r>
              <w:rPr>
                <w:rFonts w:ascii="Marianne" w:hAnsi="Marianne" w:cs="Arial"/>
                <w:b/>
                <w:bCs/>
                <w:szCs w:val="20"/>
              </w:rPr>
              <w:t xml:space="preserve"> où les producteurs d’équipements électriques et électroniques sont tenus de s’enregistrer</w:t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</w:tc>
      </w:tr>
      <w:tr>
        <w:tc>
          <w:tcPr>
            <w:tcW w:w="2298" w:type="dxa"/>
          </w:tcPr>
          <w:p>
            <w:pPr>
              <w:pStyle w:val="Contenudetableau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t>Nom, prénom, coordonnées téléphoniques, adresse des personnes à contacter pour assurer l’enlèvement </w:t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i/>
                <w:iCs/>
                <w:szCs w:val="20"/>
                <w:vertAlign w:val="superscript"/>
              </w:rPr>
              <w:t xml:space="preserve"> (Joindre éventuellement une liste)</w:t>
            </w:r>
          </w:p>
        </w:tc>
      </w:tr>
    </w:tbl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 w:val="22"/>
          <w:szCs w:val="22"/>
        </w:rPr>
      </w:pP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</w:p>
    <w:tbl>
      <w:tblPr>
        <w:tblStyle w:val="Grilledutableau"/>
        <w:tblW w:w="0" w:type="auto"/>
        <w:tblLayout w:type="fixed"/>
        <w:tblLook w:val="0000" w:firstRow="0" w:lastRow="0" w:firstColumn="0" w:lastColumn="0" w:noHBand="0" w:noVBand="0"/>
      </w:tblPr>
      <w:tblGrid>
        <w:gridCol w:w="2298"/>
        <w:gridCol w:w="7340"/>
      </w:tblGrid>
      <w:tr>
        <w:tc>
          <w:tcPr>
            <w:tcW w:w="2298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lastRenderedPageBreak/>
              <w:t>Dispositif d’adhésion à un éco-organisme agréé</w:t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b/>
                <w:bCs/>
                <w:szCs w:val="20"/>
              </w:rPr>
            </w:pPr>
            <w:sdt>
              <w:sdtPr>
                <w:rPr>
                  <w:rFonts w:ascii="Marianne" w:hAnsi="Marianne" w:cs="Arial"/>
                  <w:iCs/>
                  <w:szCs w:val="20"/>
                </w:rPr>
                <w:id w:val="-131800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Cs w:val="20"/>
                  </w:rPr>
                  <w:t>☐</w:t>
                </w:r>
              </w:sdtContent>
            </w:sdt>
            <w:r>
              <w:rPr>
                <w:rFonts w:ascii="Marianne" w:hAnsi="Marianne" w:cs="Arial"/>
                <w:iCs/>
                <w:szCs w:val="20"/>
              </w:rPr>
              <w:t xml:space="preserve"> (</w:t>
            </w:r>
            <w:proofErr w:type="gramStart"/>
            <w:r>
              <w:rPr>
                <w:rFonts w:ascii="Marianne" w:hAnsi="Marianne" w:cs="Arial"/>
                <w:iCs/>
                <w:szCs w:val="20"/>
              </w:rPr>
              <w:t>case</w:t>
            </w:r>
            <w:proofErr w:type="gramEnd"/>
            <w:r>
              <w:rPr>
                <w:rFonts w:ascii="Marianne" w:hAnsi="Marianne" w:cs="Arial"/>
                <w:iCs/>
                <w:szCs w:val="20"/>
              </w:rPr>
              <w:t xml:space="preserve"> à cocher lorsque le producteur a opté pour le dispositif d’adhésion à un éco-organisme agréé)</w:t>
            </w:r>
          </w:p>
        </w:tc>
      </w:tr>
      <w:tr>
        <w:tc>
          <w:tcPr>
            <w:tcW w:w="2298" w:type="dxa"/>
          </w:tcPr>
          <w:p>
            <w:pPr>
              <w:pStyle w:val="Contenudetableau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t>Nom de l’éco-organisme agréé tel que ce nom figure dans le registre de l’ADEME où l’éco-organisme agréé est tenu d’enregistrer ses adhérents</w:t>
            </w:r>
            <w:r>
              <w:rPr>
                <w:rStyle w:val="Appelnotedebasdep"/>
                <w:rFonts w:ascii="Marianne" w:hAnsi="Marianne" w:cs="Arial"/>
                <w:b/>
                <w:bCs/>
                <w:szCs w:val="20"/>
              </w:rPr>
              <w:footnoteReference w:id="2"/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</w:tc>
      </w:tr>
      <w:tr>
        <w:tc>
          <w:tcPr>
            <w:tcW w:w="2298" w:type="dxa"/>
          </w:tcPr>
          <w:p>
            <w:pPr>
              <w:pStyle w:val="Contenudetableau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t>Nom, prénom, coordonnées téléphoniques, adresse des personnes à contacter pour assurer l’enlèvement</w:t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b/>
                <w:bCs/>
                <w:color w:val="000000"/>
                <w:szCs w:val="20"/>
              </w:rPr>
            </w:pPr>
            <w:r>
              <w:rPr>
                <w:rFonts w:ascii="Marianne" w:hAnsi="Marianne" w:cs="Arial"/>
                <w:i/>
                <w:iCs/>
                <w:szCs w:val="20"/>
                <w:vertAlign w:val="superscript"/>
              </w:rPr>
              <w:t>(Joindre éventuellement une liste)</w:t>
            </w:r>
          </w:p>
        </w:tc>
      </w:tr>
    </w:tbl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</w:p>
    <w:p>
      <w:pPr>
        <w:pStyle w:val="Corpsdetexte"/>
        <w:numPr>
          <w:ilvl w:val="0"/>
          <w:numId w:val="2"/>
        </w:numPr>
        <w:tabs>
          <w:tab w:val="left" w:leader="dot" w:pos="9072"/>
        </w:tabs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 xml:space="preserve">Quel que soit le système de collecte mis en place, décrivez-le(s) mode(s) de traitement qui est (sont) appliqué(s) </w:t>
      </w: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sdt>
        <w:sdtPr>
          <w:rPr>
            <w:rFonts w:ascii="Marianne" w:hAnsi="Marianne" w:cs="Arial"/>
            <w:sz w:val="20"/>
            <w:szCs w:val="20"/>
          </w:rPr>
          <w:id w:val="925461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Marianne" w:hAnsi="Marianne" w:cs="Arial"/>
          <w:sz w:val="20"/>
          <w:szCs w:val="20"/>
        </w:rPr>
        <w:t xml:space="preserve"> La réutilisation ou le réemploi</w:t>
      </w: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  <w:t xml:space="preserve"> %</w:t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sdt>
        <w:sdtPr>
          <w:rPr>
            <w:rFonts w:ascii="Marianne" w:hAnsi="Marianne" w:cs="Arial"/>
            <w:sz w:val="20"/>
            <w:szCs w:val="20"/>
          </w:rPr>
          <w:id w:val="-20153008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Marianne" w:hAnsi="Marianne" w:cs="Arial"/>
          <w:sz w:val="20"/>
          <w:szCs w:val="20"/>
        </w:rPr>
        <w:t xml:space="preserve"> Le recyclage (matière ou autre)</w:t>
      </w: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  <w:t xml:space="preserve"> %</w:t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sdt>
        <w:sdtPr>
          <w:rPr>
            <w:rFonts w:ascii="Marianne" w:hAnsi="Marianne" w:cs="Arial"/>
            <w:sz w:val="20"/>
            <w:szCs w:val="20"/>
          </w:rPr>
          <w:id w:val="1155268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Marianne" w:hAnsi="Marianne" w:cs="Arial"/>
          <w:sz w:val="20"/>
          <w:szCs w:val="20"/>
        </w:rPr>
        <w:t xml:space="preserve"> Toute autre valorisation, notamment la valorisation énergétique (combustible, remblais…)</w:t>
      </w: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  <w:t xml:space="preserve"> %</w:t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sdt>
        <w:sdtPr>
          <w:rPr>
            <w:rFonts w:ascii="Marianne" w:hAnsi="Marianne" w:cs="Arial"/>
            <w:sz w:val="20"/>
            <w:szCs w:val="20"/>
          </w:rPr>
          <w:id w:val="11560279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Marianne" w:hAnsi="Marianne" w:cs="Arial"/>
          <w:sz w:val="20"/>
          <w:szCs w:val="20"/>
        </w:rPr>
        <w:t xml:space="preserve"> L'élimination</w:t>
      </w: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  <w:t xml:space="preserve"> %</w:t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sdt>
        <w:sdtPr>
          <w:rPr>
            <w:rFonts w:ascii="Marianne" w:hAnsi="Marianne" w:cs="Arial"/>
            <w:sz w:val="20"/>
            <w:szCs w:val="20"/>
          </w:rPr>
          <w:id w:val="887679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Marianne" w:hAnsi="Marianne" w:cs="Arial"/>
          <w:sz w:val="20"/>
          <w:szCs w:val="20"/>
        </w:rPr>
        <w:t xml:space="preserve"> Information non détenue par le soumissionnaire</w:t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Des acteurs de l’ESS prennent-ils part aux opérations de traitement ? Si oui, décrivez</w:t>
      </w:r>
    </w:p>
    <w:p>
      <w:pPr>
        <w:pStyle w:val="NormalWeb"/>
        <w:tabs>
          <w:tab w:val="left" w:leader="dot" w:pos="9072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</w:r>
    </w:p>
    <w:p>
      <w:pPr>
        <w:pStyle w:val="NormalWeb"/>
        <w:tabs>
          <w:tab w:val="left" w:leader="dot" w:pos="9072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</w:r>
    </w:p>
    <w:p>
      <w:pPr>
        <w:pStyle w:val="NormalWeb"/>
        <w:tabs>
          <w:tab w:val="left" w:leader="dot" w:pos="9072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Compléments éventuels pour décrire les modes de traitement</w:t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contextualSpacing w:val="0"/>
        <w:rPr>
          <w:rFonts w:ascii="Marianne" w:eastAsia="SimSun" w:hAnsi="Marianne" w:cs="Arial"/>
          <w:kern w:val="1"/>
          <w:sz w:val="20"/>
          <w:szCs w:val="20"/>
          <w:lang w:eastAsia="zh-CN" w:bidi="hi-IN"/>
        </w:rPr>
      </w:pPr>
    </w:p>
    <w:p>
      <w:pPr>
        <w:pStyle w:val="Corpsdetexte"/>
        <w:tabs>
          <w:tab w:val="left" w:leader="dot" w:pos="3261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Fait à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1701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Le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Signature du titulaire : </w:t>
      </w:r>
    </w:p>
    <w:sectPr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ind w:left="0" w:firstLine="0"/>
        <w:rPr>
          <w:rFonts w:ascii="Marianne" w:hAnsi="Marianne"/>
        </w:rPr>
      </w:pPr>
      <w:r>
        <w:rPr>
          <w:rFonts w:ascii="Marianne" w:hAnsi="Marianne"/>
        </w:rPr>
        <w:t>Le registre de l’ADEME est consultable à l’adresse :</w:t>
      </w:r>
    </w:p>
    <w:p>
      <w:pPr>
        <w:pStyle w:val="Notedebasdepage"/>
      </w:pPr>
      <w:hyperlink r:id="rId1" w:history="1">
        <w:r>
          <w:rPr>
            <w:rStyle w:val="Lienhypertexte"/>
            <w:rFonts w:ascii="Marianne" w:hAnsi="Marianne"/>
          </w:rPr>
          <w:t>https://syderep.ademe.fr/public/home</w:t>
        </w:r>
      </w:hyperlink>
    </w:p>
  </w:footnote>
  <w:footnote w:id="2">
    <w:p>
      <w:pPr>
        <w:pStyle w:val="Notedebasdepage"/>
        <w:rPr>
          <w:rFonts w:ascii="Marianne" w:hAnsi="Marianne"/>
        </w:rPr>
      </w:pPr>
      <w:r>
        <w:rPr>
          <w:rStyle w:val="Appelnotedebasdep"/>
          <w:rFonts w:ascii="Marianne" w:hAnsi="Marianne"/>
        </w:rPr>
        <w:footnoteRef/>
      </w:r>
      <w:r>
        <w:rPr>
          <w:rFonts w:ascii="Marianne" w:hAnsi="Marianne"/>
        </w:rPr>
        <w:t xml:space="preserve"> § 4 du chapitre II du cahier des charges annexé à l’agrément d’un organisme </w:t>
      </w:r>
      <w:r>
        <w:rPr>
          <w:rFonts w:ascii="Marianne" w:eastAsia="Times New Roman" w:hAnsi="Marianne" w:cs="Times New Roman"/>
        </w:rPr>
        <w:t xml:space="preserve">délivré en application du code de l’environnement. </w:t>
      </w:r>
      <w:r>
        <w:rPr>
          <w:rFonts w:ascii="Marianne" w:hAnsi="Marianne"/>
        </w:rPr>
        <w:t>Le registre de l’ADEME est consultable à l’adresse :</w:t>
      </w:r>
    </w:p>
    <w:p>
      <w:pPr>
        <w:pStyle w:val="Notedebasdepage"/>
        <w:ind w:firstLine="0"/>
      </w:pPr>
      <w:hyperlink r:id="rId2" w:history="1">
        <w:r>
          <w:rPr>
            <w:rStyle w:val="Lienhypertexte"/>
            <w:rFonts w:ascii="Marianne" w:hAnsi="Marianne"/>
          </w:rPr>
          <w:t>https://syderep.ademe.fr/public/home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Corpsdetexte"/>
      <w:jc w:val="center"/>
      <w:rPr>
        <w:rFonts w:ascii="Marianne" w:hAnsi="Marianne" w:cs="Arial"/>
        <w:b/>
        <w:sz w:val="24"/>
      </w:rPr>
    </w:pPr>
    <w:r>
      <w:rPr>
        <w:rFonts w:ascii="Marianne" w:hAnsi="Marianne" w:cs="Arial"/>
        <w:b/>
        <w:sz w:val="24"/>
      </w:rPr>
      <w:t>DAE Mobile 2026 – Annexe 2 au CCAP – Questionnaire DEEE (lot 1)</w:t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1117"/>
    <w:multiLevelType w:val="hybridMultilevel"/>
    <w:tmpl w:val="787A635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24FF"/>
    <w:multiLevelType w:val="hybridMultilevel"/>
    <w:tmpl w:val="32600F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57AF6"/>
    <w:multiLevelType w:val="hybridMultilevel"/>
    <w:tmpl w:val="A0683100"/>
    <w:lvl w:ilvl="0" w:tplc="BA62DC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31961"/>
    <w:multiLevelType w:val="hybridMultilevel"/>
    <w:tmpl w:val="6F800E46"/>
    <w:lvl w:ilvl="0" w:tplc="EEA032AC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0D3C50-0FF4-48DE-B16C-2AF89625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contextualSpacing/>
      <w:jc w:val="both"/>
    </w:pPr>
  </w:style>
  <w:style w:type="paragraph" w:styleId="Titre6">
    <w:name w:val="heading 6"/>
    <w:basedOn w:val="Normal"/>
    <w:link w:val="Titre6Car"/>
    <w:uiPriority w:val="9"/>
    <w:qFormat/>
    <w:pPr>
      <w:spacing w:before="100" w:beforeAutospacing="1" w:after="100" w:afterAutospacing="1"/>
      <w:contextualSpacing w:val="0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widowControl w:val="0"/>
      <w:suppressAutoHyphens/>
      <w:spacing w:after="120"/>
      <w:contextualSpacing w:val="0"/>
      <w:jc w:val="left"/>
    </w:pPr>
    <w:rPr>
      <w:rFonts w:ascii="Liberation Sans" w:eastAsia="SimSun" w:hAnsi="Liberation Sans" w:cs="Mangal"/>
      <w:kern w:val="1"/>
      <w:sz w:val="20"/>
      <w:szCs w:val="24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Pr>
      <w:rFonts w:ascii="Liberation Sans" w:eastAsia="SimSun" w:hAnsi="Liberation Sans" w:cs="Mangal"/>
      <w:kern w:val="1"/>
      <w:sz w:val="20"/>
      <w:szCs w:val="24"/>
      <w:lang w:eastAsia="zh-CN" w:bidi="hi-IN"/>
    </w:rPr>
  </w:style>
  <w:style w:type="paragraph" w:customStyle="1" w:styleId="Contenudetableau">
    <w:name w:val="Contenu de tableau"/>
    <w:basedOn w:val="Normal"/>
    <w:pPr>
      <w:widowControl w:val="0"/>
      <w:suppressLineNumbers/>
      <w:suppressAutoHyphens/>
      <w:contextualSpacing w:val="0"/>
      <w:jc w:val="left"/>
    </w:pPr>
    <w:rPr>
      <w:rFonts w:ascii="Liberation Sans" w:eastAsia="SimSun" w:hAnsi="Liberation Sans" w:cs="Mangal"/>
      <w:kern w:val="1"/>
      <w:sz w:val="20"/>
      <w:szCs w:val="24"/>
      <w:lang w:eastAsia="zh-CN" w:bidi="hi-IN"/>
    </w:rPr>
  </w:style>
  <w:style w:type="character" w:styleId="Appelnotedebasdep">
    <w:name w:val="footnote reference"/>
    <w:rPr>
      <w:vertAlign w:val="superscript"/>
    </w:rPr>
  </w:style>
  <w:style w:type="character" w:styleId="Lienhypertexte">
    <w:name w:val="Hyperlink"/>
    <w:rPr>
      <w:color w:val="000080"/>
      <w:u w:val="single"/>
    </w:rPr>
  </w:style>
  <w:style w:type="paragraph" w:styleId="Notedebasdepage">
    <w:name w:val="footnote text"/>
    <w:basedOn w:val="Normal"/>
    <w:link w:val="NotedebasdepageCar"/>
    <w:autoRedefine/>
    <w:pPr>
      <w:widowControl w:val="0"/>
      <w:suppressLineNumbers/>
      <w:suppressAutoHyphens/>
      <w:ind w:left="283" w:hanging="283"/>
      <w:contextualSpacing w:val="0"/>
    </w:pPr>
    <w:rPr>
      <w:rFonts w:ascii="Microsoft Sans Serif" w:eastAsia="SimSun" w:hAnsi="Microsoft Sans Serif" w:cs="Microsoft Sans Serif"/>
      <w:kern w:val="1"/>
      <w:sz w:val="16"/>
      <w:szCs w:val="20"/>
      <w:lang w:eastAsia="zh-CN" w:bidi="hi-IN"/>
    </w:rPr>
  </w:style>
  <w:style w:type="character" w:customStyle="1" w:styleId="NotedebasdepageCar">
    <w:name w:val="Note de bas de page Car"/>
    <w:basedOn w:val="Policepardfaut"/>
    <w:link w:val="Notedebasdepage"/>
    <w:rPr>
      <w:rFonts w:ascii="Microsoft Sans Serif" w:eastAsia="SimSun" w:hAnsi="Microsoft Sans Serif" w:cs="Microsoft Sans Serif"/>
      <w:kern w:val="1"/>
      <w:sz w:val="16"/>
      <w:szCs w:val="20"/>
      <w:lang w:eastAsia="zh-CN" w:bidi="hi-IN"/>
    </w:rPr>
  </w:style>
  <w:style w:type="table" w:styleId="Grilledutableau">
    <w:name w:val="Table Grid"/>
    <w:basedOn w:val="TableauNormal"/>
    <w:uiPriority w:val="59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customStyle="1" w:styleId="Titre6Car">
    <w:name w:val="Titre 6 Car"/>
    <w:basedOn w:val="Policepardfaut"/>
    <w:link w:val="Titre6"/>
    <w:uiPriority w:val="9"/>
    <w:rPr>
      <w:rFonts w:ascii="Times New Roman" w:eastAsia="Times New Roman" w:hAnsi="Times New Roman" w:cs="Times New Roman"/>
      <w:b/>
      <w:bCs/>
      <w:sz w:val="15"/>
      <w:szCs w:val="15"/>
      <w:lang w:eastAsia="fr-FR"/>
    </w:rPr>
  </w:style>
  <w:style w:type="paragraph" w:customStyle="1" w:styleId="Date1">
    <w:name w:val="Date1"/>
    <w:basedOn w:val="Normal"/>
    <w:pPr>
      <w:spacing w:before="100" w:beforeAutospacing="1" w:after="100" w:afterAutospacing="1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6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24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yderep.ademe.fr/public/home" TargetMode="External"/><Relationship Id="rId1" Type="http://schemas.openxmlformats.org/officeDocument/2006/relationships/hyperlink" Target="https://syderep.ademe.fr/public/hom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5C68C-F210-40F2-9F74-C06F7075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534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BORMAND Victor</dc:creator>
  <cp:keywords/>
  <dc:description/>
  <cp:lastModifiedBy>CERRAJERO Hugo</cp:lastModifiedBy>
  <cp:revision>18</cp:revision>
  <dcterms:created xsi:type="dcterms:W3CDTF">2023-09-18T16:58:00Z</dcterms:created>
  <dcterms:modified xsi:type="dcterms:W3CDTF">2026-07-23T08:17:00Z</dcterms:modified>
</cp:coreProperties>
</file>